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6B6" w:rsidRDefault="00DF56B6" w:rsidP="00A25083">
      <w:pPr>
        <w:widowControl w:val="0"/>
        <w:ind w:leftChars="0" w:left="0" w:firstLineChars="0" w:firstLine="0"/>
        <w:jc w:val="both"/>
        <w:rPr>
          <w:sz w:val="20"/>
          <w:szCs w:val="20"/>
        </w:rPr>
      </w:pPr>
      <w:bookmarkStart w:id="0" w:name="_heading=h.lpdpstwwl9o8" w:colFirst="0" w:colLast="0"/>
      <w:bookmarkEnd w:id="0"/>
    </w:p>
    <w:p w:rsidR="00DF56B6" w:rsidRDefault="00730C6E" w:rsidP="00A250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sz w:val="20"/>
          <w:szCs w:val="20"/>
        </w:rPr>
      </w:pPr>
      <w:r>
        <w:rPr>
          <w:b/>
          <w:color w:val="000000"/>
        </w:rPr>
        <w:t xml:space="preserve">Anexo III - </w:t>
      </w:r>
      <w:r>
        <w:rPr>
          <w:b/>
        </w:rPr>
        <w:t>Planilha de Custos para a Contratação</w:t>
      </w:r>
    </w:p>
    <w:tbl>
      <w:tblPr>
        <w:tblStyle w:val="a8"/>
        <w:tblW w:w="88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3"/>
        <w:gridCol w:w="6972"/>
      </w:tblGrid>
      <w:tr w:rsidR="00DF56B6" w:rsidTr="00BB102F">
        <w:trPr>
          <w:trHeight w:val="200"/>
        </w:trPr>
        <w:tc>
          <w:tcPr>
            <w:tcW w:w="1833" w:type="dxa"/>
            <w:shd w:val="clear" w:color="auto" w:fill="EFEFEF"/>
            <w:vAlign w:val="center"/>
          </w:tcPr>
          <w:p w:rsidR="00DF56B6" w:rsidRDefault="00730C6E">
            <w:pPr>
              <w:widowControl w:val="0"/>
              <w:spacing w:before="40" w:after="40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Lote:</w:t>
            </w:r>
          </w:p>
        </w:tc>
        <w:tc>
          <w:tcPr>
            <w:tcW w:w="6972" w:type="dxa"/>
            <w:vAlign w:val="center"/>
          </w:tcPr>
          <w:p w:rsidR="00DF56B6" w:rsidRDefault="00DF56B6">
            <w:pPr>
              <w:widowControl w:val="0"/>
              <w:spacing w:before="40" w:after="40"/>
              <w:ind w:left="0" w:hanging="2"/>
              <w:rPr>
                <w:b/>
                <w:sz w:val="20"/>
                <w:szCs w:val="20"/>
              </w:rPr>
            </w:pPr>
          </w:p>
        </w:tc>
      </w:tr>
    </w:tbl>
    <w:p w:rsidR="00DF56B6" w:rsidRDefault="00DF56B6">
      <w:pPr>
        <w:widowControl w:val="0"/>
        <w:spacing w:after="120"/>
        <w:ind w:left="0" w:hanging="2"/>
        <w:jc w:val="both"/>
        <w:rPr>
          <w:sz w:val="20"/>
          <w:szCs w:val="20"/>
        </w:rPr>
      </w:pPr>
    </w:p>
    <w:tbl>
      <w:tblPr>
        <w:tblStyle w:val="a9"/>
        <w:tblW w:w="88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3"/>
        <w:gridCol w:w="3192"/>
        <w:gridCol w:w="1935"/>
        <w:gridCol w:w="1845"/>
      </w:tblGrid>
      <w:tr w:rsidR="00DF56B6" w:rsidTr="00BB102F">
        <w:tc>
          <w:tcPr>
            <w:tcW w:w="1833" w:type="dxa"/>
            <w:shd w:val="clear" w:color="auto" w:fill="EFEFEF"/>
            <w:vAlign w:val="center"/>
          </w:tcPr>
          <w:p w:rsidR="00DF56B6" w:rsidRPr="00A5480F" w:rsidRDefault="00730C6E">
            <w:pPr>
              <w:widowControl w:val="0"/>
              <w:spacing w:before="40" w:after="40"/>
              <w:ind w:left="0" w:hanging="2"/>
              <w:rPr>
                <w:b/>
                <w:sz w:val="20"/>
                <w:szCs w:val="20"/>
              </w:rPr>
            </w:pPr>
            <w:r w:rsidRPr="00A5480F">
              <w:rPr>
                <w:b/>
                <w:sz w:val="20"/>
                <w:szCs w:val="20"/>
              </w:rPr>
              <w:t>1.1</w:t>
            </w:r>
            <w:r w:rsidR="001C0D73" w:rsidRPr="00A5480F">
              <w:rPr>
                <w:b/>
                <w:sz w:val="20"/>
                <w:szCs w:val="20"/>
              </w:rPr>
              <w:t>.</w:t>
            </w:r>
            <w:r w:rsidRPr="00A5480F">
              <w:rPr>
                <w:b/>
                <w:sz w:val="20"/>
                <w:szCs w:val="20"/>
              </w:rPr>
              <w:t xml:space="preserve"> Instalação</w:t>
            </w:r>
          </w:p>
        </w:tc>
        <w:tc>
          <w:tcPr>
            <w:tcW w:w="3192" w:type="dxa"/>
            <w:shd w:val="clear" w:color="auto" w:fill="EFEFEF"/>
            <w:vAlign w:val="center"/>
          </w:tcPr>
          <w:p w:rsidR="00DF56B6" w:rsidRPr="00A5480F" w:rsidRDefault="00730C6E" w:rsidP="00A5480F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A5480F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935" w:type="dxa"/>
            <w:shd w:val="clear" w:color="auto" w:fill="EFEFEF"/>
            <w:vAlign w:val="center"/>
          </w:tcPr>
          <w:p w:rsidR="00DF56B6" w:rsidRPr="00A5480F" w:rsidRDefault="00730C6E" w:rsidP="00A5480F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A5480F">
              <w:rPr>
                <w:b/>
                <w:sz w:val="20"/>
                <w:szCs w:val="20"/>
              </w:rPr>
              <w:t>Custo unitário</w:t>
            </w:r>
          </w:p>
        </w:tc>
        <w:tc>
          <w:tcPr>
            <w:tcW w:w="1845" w:type="dxa"/>
            <w:shd w:val="clear" w:color="auto" w:fill="EFEFEF"/>
            <w:vAlign w:val="center"/>
          </w:tcPr>
          <w:p w:rsidR="00DF56B6" w:rsidRPr="00A5480F" w:rsidRDefault="00730C6E" w:rsidP="00A5480F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A5480F">
              <w:rPr>
                <w:b/>
                <w:sz w:val="20"/>
                <w:szCs w:val="20"/>
              </w:rPr>
              <w:t>Custo total</w:t>
            </w:r>
          </w:p>
          <w:p w:rsidR="00DF56B6" w:rsidRDefault="00730C6E" w:rsidP="00E47A5D">
            <w:pPr>
              <w:widowControl w:val="0"/>
              <w:spacing w:before="40" w:after="40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(=custo unitário x q</w:t>
            </w:r>
            <w:r w:rsidR="00E47A5D">
              <w:rPr>
                <w:sz w:val="16"/>
                <w:szCs w:val="16"/>
              </w:rPr>
              <w:t>uan</w:t>
            </w:r>
            <w:r>
              <w:rPr>
                <w:sz w:val="16"/>
                <w:szCs w:val="16"/>
              </w:rPr>
              <w:t>t</w:t>
            </w:r>
            <w:r w:rsidR="00E47A5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enlaces lote)</w:t>
            </w:r>
          </w:p>
        </w:tc>
      </w:tr>
      <w:tr w:rsidR="00DF56B6" w:rsidTr="00BB102F">
        <w:trPr>
          <w:trHeight w:val="353"/>
        </w:trPr>
        <w:tc>
          <w:tcPr>
            <w:tcW w:w="1833" w:type="dxa"/>
            <w:vMerge w:val="restart"/>
            <w:shd w:val="clear" w:color="auto" w:fill="FFFFFF"/>
            <w:vAlign w:val="center"/>
          </w:tcPr>
          <w:p w:rsidR="00DF56B6" w:rsidRDefault="00730C6E" w:rsidP="0042565F">
            <w:pPr>
              <w:widowControl w:val="0"/>
              <w:spacing w:after="12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Instalação do enlace</w:t>
            </w:r>
          </w:p>
        </w:tc>
        <w:tc>
          <w:tcPr>
            <w:tcW w:w="3192" w:type="dxa"/>
            <w:vMerge w:val="restart"/>
            <w:shd w:val="clear" w:color="auto" w:fill="FFFFFF"/>
            <w:vAlign w:val="center"/>
          </w:tcPr>
          <w:p w:rsidR="00DF56B6" w:rsidRDefault="00730C6E" w:rsidP="0042565F">
            <w:pPr>
              <w:widowControl w:val="0"/>
              <w:spacing w:before="40" w:after="4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Execução única, para cada enlace do lote, no início do contrato</w:t>
            </w:r>
            <w:r w:rsidR="0042565F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vMerge w:val="restart"/>
            <w:shd w:val="clear" w:color="auto" w:fill="FFFFFF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R$:</w:t>
            </w:r>
            <w:r w:rsidR="00CD1D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</w:t>
            </w:r>
          </w:p>
        </w:tc>
        <w:tc>
          <w:tcPr>
            <w:tcW w:w="1845" w:type="dxa"/>
            <w:vMerge w:val="restart"/>
            <w:shd w:val="clear" w:color="auto" w:fill="FFFFFF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R$:</w:t>
            </w:r>
            <w:r w:rsidR="00CD1D1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__________</w:t>
            </w:r>
          </w:p>
        </w:tc>
      </w:tr>
      <w:tr w:rsidR="00DF56B6" w:rsidTr="00BB102F">
        <w:trPr>
          <w:trHeight w:val="233"/>
        </w:trPr>
        <w:tc>
          <w:tcPr>
            <w:tcW w:w="1833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92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BB102F">
        <w:trPr>
          <w:trHeight w:val="233"/>
        </w:trPr>
        <w:tc>
          <w:tcPr>
            <w:tcW w:w="1833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92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BB102F">
        <w:trPr>
          <w:trHeight w:val="233"/>
        </w:trPr>
        <w:tc>
          <w:tcPr>
            <w:tcW w:w="1833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92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BB102F">
        <w:trPr>
          <w:trHeight w:val="233"/>
        </w:trPr>
        <w:tc>
          <w:tcPr>
            <w:tcW w:w="1833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92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BB102F">
        <w:trPr>
          <w:trHeight w:val="233"/>
        </w:trPr>
        <w:tc>
          <w:tcPr>
            <w:tcW w:w="1833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92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A5480F">
        <w:trPr>
          <w:trHeight w:val="200"/>
        </w:trPr>
        <w:tc>
          <w:tcPr>
            <w:tcW w:w="6960" w:type="dxa"/>
            <w:gridSpan w:val="3"/>
            <w:shd w:val="clear" w:color="auto" w:fill="FFFFFF"/>
          </w:tcPr>
          <w:p w:rsidR="00DF56B6" w:rsidRDefault="00730C6E">
            <w:pPr>
              <w:widowControl w:val="0"/>
              <w:spacing w:after="120"/>
              <w:ind w:left="0" w:hanging="2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1.1 Total instalação dos enlaces no lote </w:t>
            </w:r>
          </w:p>
          <w:p w:rsidR="00DF56B6" w:rsidRDefault="00730C6E">
            <w:pPr>
              <w:widowControl w:val="0"/>
              <w:spacing w:after="120"/>
              <w:ind w:left="0" w:hanging="2"/>
              <w:jc w:val="right"/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>(=</w:t>
            </w:r>
            <w:r w:rsidR="00E47A5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soma custos totais das instalações):</w:t>
            </w: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jc w:val="both"/>
              <w:rPr>
                <w:sz w:val="20"/>
                <w:szCs w:val="20"/>
              </w:rPr>
            </w:pPr>
          </w:p>
        </w:tc>
      </w:tr>
    </w:tbl>
    <w:p w:rsidR="00DF56B6" w:rsidRDefault="00DF56B6">
      <w:pPr>
        <w:widowControl w:val="0"/>
        <w:spacing w:after="120"/>
        <w:ind w:left="0" w:hanging="2"/>
        <w:jc w:val="both"/>
        <w:rPr>
          <w:sz w:val="20"/>
          <w:szCs w:val="20"/>
        </w:rPr>
      </w:pPr>
    </w:p>
    <w:tbl>
      <w:tblPr>
        <w:tblStyle w:val="aa"/>
        <w:tblW w:w="877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3135"/>
        <w:gridCol w:w="1905"/>
        <w:gridCol w:w="1830"/>
      </w:tblGrid>
      <w:tr w:rsidR="00DF56B6" w:rsidTr="00E47A5D">
        <w:tc>
          <w:tcPr>
            <w:tcW w:w="1905" w:type="dxa"/>
            <w:shd w:val="clear" w:color="auto" w:fill="EFEFEF"/>
            <w:vAlign w:val="center"/>
          </w:tcPr>
          <w:p w:rsidR="00DF56B6" w:rsidRPr="00E47A5D" w:rsidRDefault="00730C6E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E47A5D">
              <w:rPr>
                <w:b/>
                <w:sz w:val="20"/>
                <w:szCs w:val="20"/>
              </w:rPr>
              <w:t>1.2</w:t>
            </w:r>
            <w:r w:rsidR="001C0D73" w:rsidRPr="00E47A5D">
              <w:rPr>
                <w:b/>
                <w:sz w:val="20"/>
                <w:szCs w:val="20"/>
              </w:rPr>
              <w:t>.</w:t>
            </w:r>
            <w:r w:rsidRPr="00E47A5D">
              <w:rPr>
                <w:b/>
                <w:sz w:val="20"/>
                <w:szCs w:val="20"/>
              </w:rPr>
              <w:t xml:space="preserve"> Mensalidade</w:t>
            </w:r>
          </w:p>
        </w:tc>
        <w:tc>
          <w:tcPr>
            <w:tcW w:w="3135" w:type="dxa"/>
            <w:shd w:val="clear" w:color="auto" w:fill="EFEFEF"/>
            <w:vAlign w:val="center"/>
          </w:tcPr>
          <w:p w:rsidR="00DF56B6" w:rsidRPr="00E47A5D" w:rsidRDefault="00730C6E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E47A5D">
              <w:rPr>
                <w:b/>
                <w:sz w:val="20"/>
                <w:szCs w:val="20"/>
              </w:rPr>
              <w:t>Quantidade de enlaces por lote</w:t>
            </w:r>
          </w:p>
        </w:tc>
        <w:tc>
          <w:tcPr>
            <w:tcW w:w="1905" w:type="dxa"/>
            <w:shd w:val="clear" w:color="auto" w:fill="EFEFEF"/>
            <w:vAlign w:val="center"/>
          </w:tcPr>
          <w:p w:rsidR="00DF56B6" w:rsidRPr="00E47A5D" w:rsidRDefault="00730C6E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E47A5D">
              <w:rPr>
                <w:b/>
                <w:sz w:val="20"/>
                <w:szCs w:val="20"/>
              </w:rPr>
              <w:t>Custo mensal unitário</w:t>
            </w:r>
          </w:p>
        </w:tc>
        <w:tc>
          <w:tcPr>
            <w:tcW w:w="1830" w:type="dxa"/>
            <w:shd w:val="clear" w:color="auto" w:fill="EFEFEF"/>
            <w:vAlign w:val="center"/>
          </w:tcPr>
          <w:p w:rsidR="00DF56B6" w:rsidRPr="00E47A5D" w:rsidRDefault="00730C6E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E47A5D">
              <w:rPr>
                <w:b/>
                <w:sz w:val="20"/>
                <w:szCs w:val="20"/>
              </w:rPr>
              <w:t>Custo total</w:t>
            </w:r>
          </w:p>
          <w:p w:rsidR="00DF56B6" w:rsidRDefault="00730C6E" w:rsidP="00A91DFC">
            <w:pPr>
              <w:widowControl w:val="0"/>
              <w:spacing w:before="40" w:after="40"/>
              <w:ind w:left="0" w:hanging="2"/>
              <w:jc w:val="center"/>
              <w:rPr>
                <w:sz w:val="16"/>
                <w:szCs w:val="16"/>
              </w:rPr>
            </w:pPr>
            <w:r w:rsidRPr="00F16EDB">
              <w:rPr>
                <w:sz w:val="16"/>
                <w:szCs w:val="16"/>
              </w:rPr>
              <w:t>(=custo mensal unitário x q</w:t>
            </w:r>
            <w:r w:rsidR="00E47A5D" w:rsidRPr="00F16EDB">
              <w:rPr>
                <w:sz w:val="16"/>
                <w:szCs w:val="16"/>
              </w:rPr>
              <w:t>uan</w:t>
            </w:r>
            <w:r w:rsidRPr="00F16EDB">
              <w:rPr>
                <w:sz w:val="16"/>
                <w:szCs w:val="16"/>
              </w:rPr>
              <w:t>t</w:t>
            </w:r>
            <w:r w:rsidR="00E47A5D" w:rsidRPr="00F16EDB">
              <w:rPr>
                <w:sz w:val="16"/>
                <w:szCs w:val="16"/>
              </w:rPr>
              <w:t xml:space="preserve">. </w:t>
            </w:r>
            <w:r w:rsidRPr="00F16EDB">
              <w:rPr>
                <w:sz w:val="16"/>
                <w:szCs w:val="16"/>
              </w:rPr>
              <w:t>enlaces por perfil do lote</w:t>
            </w:r>
            <w:r w:rsidR="00F16EDB" w:rsidRPr="00F16EDB">
              <w:rPr>
                <w:sz w:val="16"/>
                <w:szCs w:val="16"/>
              </w:rPr>
              <w:t xml:space="preserve"> x 48 meses</w:t>
            </w:r>
            <w:r w:rsidRPr="00F16EDB">
              <w:rPr>
                <w:sz w:val="16"/>
                <w:szCs w:val="16"/>
              </w:rPr>
              <w:t>)</w:t>
            </w:r>
          </w:p>
        </w:tc>
      </w:tr>
      <w:tr w:rsidR="00DF56B6" w:rsidTr="00E47A5D">
        <w:trPr>
          <w:trHeight w:val="353"/>
        </w:trPr>
        <w:tc>
          <w:tcPr>
            <w:tcW w:w="1905" w:type="dxa"/>
            <w:vMerge w:val="restart"/>
            <w:shd w:val="clear" w:color="auto" w:fill="FFFFFF"/>
            <w:vAlign w:val="center"/>
          </w:tcPr>
          <w:p w:rsidR="00DF56B6" w:rsidRDefault="00730C6E" w:rsidP="00CD1D17">
            <w:pPr>
              <w:widowControl w:val="0"/>
              <w:spacing w:after="12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Perfil 50Mbps</w:t>
            </w:r>
          </w:p>
        </w:tc>
        <w:tc>
          <w:tcPr>
            <w:tcW w:w="3135" w:type="dxa"/>
            <w:vMerge w:val="restart"/>
            <w:shd w:val="clear" w:color="auto" w:fill="FFFFFF"/>
            <w:vAlign w:val="center"/>
          </w:tcPr>
          <w:p w:rsidR="00DF56B6" w:rsidRDefault="00730C6E" w:rsidP="001A1BE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Conforme Anexo IV d</w:t>
            </w:r>
            <w:r w:rsidR="00CD1D17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Projeto Básico</w:t>
            </w:r>
            <w:r w:rsidR="00BB102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 w:rsidR="00BB102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Termo de Referência</w:t>
            </w:r>
            <w:r w:rsidR="00CD1D17">
              <w:rPr>
                <w:sz w:val="20"/>
                <w:szCs w:val="20"/>
              </w:rPr>
              <w:t>.</w:t>
            </w:r>
            <w:bookmarkStart w:id="1" w:name="_GoBack"/>
            <w:bookmarkEnd w:id="1"/>
          </w:p>
        </w:tc>
        <w:tc>
          <w:tcPr>
            <w:tcW w:w="1905" w:type="dxa"/>
            <w:vMerge w:val="restart"/>
            <w:shd w:val="clear" w:color="auto" w:fill="FFFFFF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R$:</w:t>
            </w:r>
            <w:r w:rsidR="00CD1D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</w:t>
            </w:r>
          </w:p>
        </w:tc>
        <w:tc>
          <w:tcPr>
            <w:tcW w:w="1830" w:type="dxa"/>
            <w:vMerge w:val="restart"/>
            <w:shd w:val="clear" w:color="auto" w:fill="FFFFFF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R$:</w:t>
            </w:r>
            <w:r w:rsidR="00CD1D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</w:t>
            </w: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3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3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3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3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3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465"/>
        </w:trPr>
        <w:tc>
          <w:tcPr>
            <w:tcW w:w="1905" w:type="dxa"/>
            <w:shd w:val="clear" w:color="auto" w:fill="FFFFFF"/>
            <w:vAlign w:val="center"/>
          </w:tcPr>
          <w:p w:rsidR="00DF56B6" w:rsidRDefault="00730C6E" w:rsidP="00CD1D17">
            <w:pPr>
              <w:widowControl w:val="0"/>
              <w:spacing w:after="12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Perfil 100Mbps</w:t>
            </w:r>
          </w:p>
        </w:tc>
        <w:tc>
          <w:tcPr>
            <w:tcW w:w="3135" w:type="dxa"/>
            <w:vMerge/>
            <w:shd w:val="clear" w:color="auto" w:fill="FFFFFF"/>
          </w:tcPr>
          <w:p w:rsidR="00DF56B6" w:rsidRDefault="00DF56B6">
            <w:pPr>
              <w:widowControl w:val="0"/>
              <w:spacing w:line="240" w:lineRule="auto"/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905" w:type="dxa"/>
            <w:shd w:val="clear" w:color="auto" w:fill="FFFFFF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R$:</w:t>
            </w:r>
            <w:r w:rsidR="00CD1D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</w:t>
            </w:r>
          </w:p>
        </w:tc>
        <w:tc>
          <w:tcPr>
            <w:tcW w:w="1830" w:type="dxa"/>
            <w:shd w:val="clear" w:color="auto" w:fill="FFFFFF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R$:</w:t>
            </w:r>
            <w:r w:rsidR="00CD1D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</w:t>
            </w:r>
          </w:p>
        </w:tc>
      </w:tr>
      <w:tr w:rsidR="00DF56B6" w:rsidTr="00E47A5D">
        <w:trPr>
          <w:trHeight w:val="465"/>
        </w:trPr>
        <w:tc>
          <w:tcPr>
            <w:tcW w:w="6945" w:type="dxa"/>
            <w:gridSpan w:val="3"/>
            <w:shd w:val="clear" w:color="auto" w:fill="FFFFFF"/>
          </w:tcPr>
          <w:p w:rsidR="00DF56B6" w:rsidRDefault="00730C6E">
            <w:pPr>
              <w:widowControl w:val="0"/>
              <w:spacing w:after="120"/>
              <w:ind w:left="0" w:hanging="2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 Total mensalidades dos enlace</w:t>
            </w:r>
            <w:r w:rsidR="001A1BE6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 no lote </w:t>
            </w:r>
          </w:p>
          <w:p w:rsidR="00DF56B6" w:rsidRDefault="00730C6E">
            <w:pPr>
              <w:widowControl w:val="0"/>
              <w:spacing w:after="120"/>
              <w:ind w:left="0" w:hanging="2"/>
              <w:jc w:val="right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(=</w:t>
            </w:r>
            <w:r w:rsidR="00E47A5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soma custos totais das mensalidades, por perfil)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830" w:type="dxa"/>
            <w:shd w:val="clear" w:color="auto" w:fill="FFFFFF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R$:</w:t>
            </w:r>
            <w:r w:rsidR="00CD1D1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__________</w:t>
            </w:r>
          </w:p>
        </w:tc>
      </w:tr>
    </w:tbl>
    <w:p w:rsidR="00DF56B6" w:rsidRDefault="00DF56B6">
      <w:pPr>
        <w:widowControl w:val="0"/>
        <w:spacing w:after="120"/>
        <w:ind w:left="0" w:hanging="2"/>
        <w:jc w:val="both"/>
        <w:rPr>
          <w:sz w:val="20"/>
          <w:szCs w:val="20"/>
        </w:rPr>
      </w:pPr>
    </w:p>
    <w:tbl>
      <w:tblPr>
        <w:tblStyle w:val="ab"/>
        <w:tblW w:w="88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3120"/>
        <w:gridCol w:w="1935"/>
        <w:gridCol w:w="1845"/>
      </w:tblGrid>
      <w:tr w:rsidR="00DF56B6" w:rsidTr="00E47A5D">
        <w:tc>
          <w:tcPr>
            <w:tcW w:w="1905" w:type="dxa"/>
            <w:shd w:val="clear" w:color="auto" w:fill="EFEFEF"/>
            <w:vAlign w:val="center"/>
          </w:tcPr>
          <w:p w:rsidR="00DF56B6" w:rsidRPr="00E47A5D" w:rsidRDefault="00730C6E" w:rsidP="00E47A5D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E47A5D">
              <w:rPr>
                <w:b/>
                <w:sz w:val="20"/>
                <w:szCs w:val="20"/>
              </w:rPr>
              <w:t>1.3</w:t>
            </w:r>
            <w:r w:rsidR="001C0D73" w:rsidRPr="00E47A5D">
              <w:rPr>
                <w:b/>
                <w:sz w:val="20"/>
                <w:szCs w:val="20"/>
              </w:rPr>
              <w:t>.</w:t>
            </w:r>
            <w:r w:rsidRPr="00E47A5D">
              <w:rPr>
                <w:b/>
                <w:sz w:val="20"/>
                <w:szCs w:val="20"/>
              </w:rPr>
              <w:t xml:space="preserve"> Pacote adicional</w:t>
            </w:r>
          </w:p>
        </w:tc>
        <w:tc>
          <w:tcPr>
            <w:tcW w:w="3120" w:type="dxa"/>
            <w:shd w:val="clear" w:color="auto" w:fill="EFEFEF"/>
            <w:vAlign w:val="center"/>
          </w:tcPr>
          <w:p w:rsidR="00DF56B6" w:rsidRPr="00E47A5D" w:rsidRDefault="00730C6E" w:rsidP="00A25083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E47A5D">
              <w:rPr>
                <w:b/>
                <w:sz w:val="20"/>
                <w:szCs w:val="20"/>
              </w:rPr>
              <w:t>Quantidade (estimada)</w:t>
            </w:r>
          </w:p>
        </w:tc>
        <w:tc>
          <w:tcPr>
            <w:tcW w:w="1935" w:type="dxa"/>
            <w:shd w:val="clear" w:color="auto" w:fill="EFEFEF"/>
            <w:vAlign w:val="center"/>
          </w:tcPr>
          <w:p w:rsidR="00DF56B6" w:rsidRPr="00E47A5D" w:rsidRDefault="00730C6E">
            <w:pPr>
              <w:widowControl w:val="0"/>
              <w:spacing w:before="40" w:after="40"/>
              <w:ind w:left="0" w:hanging="2"/>
              <w:rPr>
                <w:b/>
                <w:sz w:val="20"/>
                <w:szCs w:val="20"/>
              </w:rPr>
            </w:pPr>
            <w:r w:rsidRPr="00E47A5D">
              <w:rPr>
                <w:b/>
                <w:sz w:val="20"/>
                <w:szCs w:val="20"/>
              </w:rPr>
              <w:t>Custo unitário</w:t>
            </w:r>
          </w:p>
        </w:tc>
        <w:tc>
          <w:tcPr>
            <w:tcW w:w="1845" w:type="dxa"/>
            <w:shd w:val="clear" w:color="auto" w:fill="EFEFEF"/>
            <w:vAlign w:val="center"/>
          </w:tcPr>
          <w:p w:rsidR="00DF56B6" w:rsidRPr="00E47A5D" w:rsidRDefault="00730C6E" w:rsidP="00E47A5D">
            <w:pPr>
              <w:widowControl w:val="0"/>
              <w:spacing w:before="40" w:after="40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E47A5D">
              <w:rPr>
                <w:b/>
                <w:sz w:val="20"/>
                <w:szCs w:val="20"/>
              </w:rPr>
              <w:t>Custo total</w:t>
            </w:r>
          </w:p>
          <w:p w:rsidR="00DF56B6" w:rsidRDefault="00730C6E" w:rsidP="00E47A5D">
            <w:pPr>
              <w:widowControl w:val="0"/>
              <w:spacing w:before="40" w:after="40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(=custo unitário x 2)</w:t>
            </w:r>
          </w:p>
        </w:tc>
      </w:tr>
      <w:tr w:rsidR="00DF56B6" w:rsidTr="00E47A5D">
        <w:trPr>
          <w:trHeight w:val="353"/>
        </w:trPr>
        <w:tc>
          <w:tcPr>
            <w:tcW w:w="1905" w:type="dxa"/>
            <w:vMerge w:val="restart"/>
            <w:shd w:val="clear" w:color="auto" w:fill="FFFFFF"/>
            <w:vAlign w:val="center"/>
          </w:tcPr>
          <w:p w:rsidR="00DF56B6" w:rsidRDefault="00730C6E" w:rsidP="001A1BE6">
            <w:pPr>
              <w:widowControl w:val="0"/>
              <w:spacing w:after="12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Mudança de endereço </w:t>
            </w:r>
          </w:p>
        </w:tc>
        <w:tc>
          <w:tcPr>
            <w:tcW w:w="3120" w:type="dxa"/>
            <w:vMerge w:val="restart"/>
            <w:shd w:val="clear" w:color="auto" w:fill="FFFFFF"/>
            <w:vAlign w:val="center"/>
          </w:tcPr>
          <w:p w:rsidR="00DF56B6" w:rsidRDefault="00730C6E" w:rsidP="0042565F">
            <w:pPr>
              <w:widowControl w:val="0"/>
              <w:spacing w:before="40" w:after="4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Estima-se ocorrer 2 (duas) mudanças de endereço por lote durante o período de vigência contratual</w:t>
            </w:r>
            <w:r w:rsidR="00CD1D17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vMerge w:val="restart"/>
            <w:shd w:val="clear" w:color="auto" w:fill="FFFFFF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R$:</w:t>
            </w:r>
            <w:r w:rsidR="00CD1D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</w:t>
            </w:r>
          </w:p>
        </w:tc>
        <w:tc>
          <w:tcPr>
            <w:tcW w:w="1845" w:type="dxa"/>
            <w:vMerge w:val="restart"/>
            <w:shd w:val="clear" w:color="auto" w:fill="FFFFFF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</w:p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b/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R$:</w:t>
            </w:r>
            <w:r w:rsidR="00CD1D1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__________</w:t>
            </w: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233"/>
        </w:trPr>
        <w:tc>
          <w:tcPr>
            <w:tcW w:w="190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rPr>
                <w:sz w:val="20"/>
                <w:szCs w:val="20"/>
              </w:rPr>
            </w:pPr>
          </w:p>
        </w:tc>
      </w:tr>
      <w:tr w:rsidR="00DF56B6" w:rsidTr="00E47A5D">
        <w:trPr>
          <w:trHeight w:val="200"/>
        </w:trPr>
        <w:tc>
          <w:tcPr>
            <w:tcW w:w="6960" w:type="dxa"/>
            <w:gridSpan w:val="3"/>
            <w:shd w:val="clear" w:color="auto" w:fill="FFFFFF"/>
          </w:tcPr>
          <w:p w:rsidR="00DF56B6" w:rsidRDefault="00730C6E">
            <w:pPr>
              <w:widowControl w:val="0"/>
              <w:spacing w:after="120"/>
              <w:ind w:left="0" w:hanging="2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1.3 Total mudanças de endereço no lote </w:t>
            </w:r>
          </w:p>
          <w:p w:rsidR="00DF56B6" w:rsidRDefault="00730C6E">
            <w:pPr>
              <w:widowControl w:val="0"/>
              <w:spacing w:after="120"/>
              <w:ind w:left="0" w:hanging="2"/>
              <w:jc w:val="right"/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>(=</w:t>
            </w:r>
            <w:r w:rsidR="00E47A5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 totais de eventuais mudanças de endereço):</w:t>
            </w:r>
          </w:p>
        </w:tc>
        <w:tc>
          <w:tcPr>
            <w:tcW w:w="1845" w:type="dxa"/>
            <w:vMerge/>
            <w:shd w:val="clear" w:color="auto" w:fill="FFFFFF"/>
          </w:tcPr>
          <w:p w:rsidR="00DF56B6" w:rsidRDefault="00DF56B6">
            <w:pPr>
              <w:widowControl w:val="0"/>
              <w:ind w:left="0" w:hanging="2"/>
              <w:jc w:val="both"/>
              <w:rPr>
                <w:sz w:val="20"/>
                <w:szCs w:val="20"/>
              </w:rPr>
            </w:pPr>
          </w:p>
        </w:tc>
      </w:tr>
    </w:tbl>
    <w:p w:rsidR="00DF56B6" w:rsidRDefault="00DF56B6">
      <w:pPr>
        <w:widowControl w:val="0"/>
        <w:spacing w:after="120"/>
        <w:ind w:left="0" w:hanging="2"/>
        <w:jc w:val="both"/>
        <w:rPr>
          <w:sz w:val="20"/>
          <w:szCs w:val="20"/>
        </w:rPr>
      </w:pPr>
    </w:p>
    <w:tbl>
      <w:tblPr>
        <w:tblStyle w:val="ac"/>
        <w:tblW w:w="882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0"/>
        <w:gridCol w:w="1860"/>
      </w:tblGrid>
      <w:tr w:rsidR="00DF56B6" w:rsidTr="00E47A5D">
        <w:trPr>
          <w:trHeight w:val="200"/>
        </w:trPr>
        <w:tc>
          <w:tcPr>
            <w:tcW w:w="6960" w:type="dxa"/>
            <w:shd w:val="clear" w:color="auto" w:fill="EFEFEF"/>
            <w:vAlign w:val="center"/>
          </w:tcPr>
          <w:p w:rsidR="00DF56B6" w:rsidRDefault="00730C6E">
            <w:pPr>
              <w:widowControl w:val="0"/>
              <w:spacing w:before="40" w:after="40"/>
              <w:ind w:left="0" w:hanging="2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1.4</w:t>
            </w:r>
            <w:r w:rsidR="001C0D73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Total geral</w:t>
            </w:r>
            <w:r>
              <w:rPr>
                <w:sz w:val="20"/>
                <w:szCs w:val="20"/>
              </w:rPr>
              <w:t xml:space="preserve"> </w:t>
            </w:r>
          </w:p>
          <w:p w:rsidR="00DF56B6" w:rsidRDefault="00730C6E">
            <w:pPr>
              <w:widowControl w:val="0"/>
              <w:spacing w:before="40" w:after="40"/>
              <w:ind w:left="0" w:hanging="2"/>
              <w:jc w:val="righ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E47A5D">
              <w:rPr>
                <w:sz w:val="16"/>
                <w:szCs w:val="16"/>
              </w:rPr>
              <w:t xml:space="preserve">= </w:t>
            </w:r>
            <w:r>
              <w:rPr>
                <w:sz w:val="16"/>
                <w:szCs w:val="16"/>
              </w:rPr>
              <w:t>soma de 1.1 + 1.2 + 1.3):</w:t>
            </w:r>
          </w:p>
        </w:tc>
        <w:tc>
          <w:tcPr>
            <w:tcW w:w="1860" w:type="dxa"/>
            <w:vAlign w:val="center"/>
          </w:tcPr>
          <w:p w:rsidR="00DF56B6" w:rsidRDefault="00DF56B6">
            <w:pPr>
              <w:widowControl w:val="0"/>
              <w:spacing w:after="120"/>
              <w:ind w:left="0" w:hanging="2"/>
              <w:jc w:val="both"/>
              <w:rPr>
                <w:b/>
                <w:sz w:val="20"/>
                <w:szCs w:val="20"/>
              </w:rPr>
            </w:pPr>
          </w:p>
          <w:p w:rsidR="00DF56B6" w:rsidRDefault="00730C6E">
            <w:pPr>
              <w:widowControl w:val="0"/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R$:</w:t>
            </w:r>
            <w:r w:rsidR="00A2508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__________</w:t>
            </w:r>
          </w:p>
        </w:tc>
      </w:tr>
    </w:tbl>
    <w:p w:rsidR="00DF56B6" w:rsidRDefault="00DF56B6">
      <w:pPr>
        <w:widowControl w:val="0"/>
        <w:spacing w:after="120"/>
        <w:ind w:left="0" w:hanging="2"/>
        <w:jc w:val="both"/>
        <w:rPr>
          <w:sz w:val="20"/>
          <w:szCs w:val="20"/>
        </w:rPr>
      </w:pPr>
    </w:p>
    <w:p w:rsidR="00DF56B6" w:rsidRDefault="00730C6E" w:rsidP="00A25083">
      <w:pPr>
        <w:widowControl w:val="0"/>
        <w:spacing w:after="120"/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Será declarado vencedor o licitante que, atendendo todas as especificações descritas acima, obtiver o menor preço para o </w:t>
      </w:r>
      <w:r w:rsidR="00A16D55">
        <w:rPr>
          <w:b/>
          <w:sz w:val="20"/>
          <w:szCs w:val="20"/>
        </w:rPr>
        <w:t>Total G</w:t>
      </w:r>
      <w:r>
        <w:rPr>
          <w:b/>
          <w:sz w:val="20"/>
          <w:szCs w:val="20"/>
        </w:rPr>
        <w:t>eral</w:t>
      </w:r>
      <w:r>
        <w:rPr>
          <w:sz w:val="20"/>
          <w:szCs w:val="20"/>
        </w:rPr>
        <w:t xml:space="preserve"> da planilha de preços (</w:t>
      </w:r>
      <w:r>
        <w:rPr>
          <w:b/>
          <w:sz w:val="20"/>
          <w:szCs w:val="20"/>
        </w:rPr>
        <w:t>item 1.4</w:t>
      </w:r>
      <w:r>
        <w:rPr>
          <w:sz w:val="20"/>
          <w:szCs w:val="20"/>
        </w:rPr>
        <w:t xml:space="preserve">). O cálculo se dará da seguinte forma: Total Geral = 1.1 (Total-instalações) + 1.2 (Total-mensalidades) + 1.3 </w:t>
      </w:r>
      <w:r w:rsidR="00020526">
        <w:rPr>
          <w:sz w:val="20"/>
          <w:szCs w:val="20"/>
        </w:rPr>
        <w:t>(</w:t>
      </w:r>
      <w:r>
        <w:rPr>
          <w:sz w:val="20"/>
          <w:szCs w:val="20"/>
        </w:rPr>
        <w:t>Total-mudanças-endereço)</w:t>
      </w:r>
      <w:r w:rsidR="00A25083">
        <w:rPr>
          <w:sz w:val="20"/>
          <w:szCs w:val="20"/>
        </w:rPr>
        <w:t>.</w:t>
      </w:r>
      <w:bookmarkStart w:id="2" w:name="_heading=h.1v1yuxt" w:colFirst="0" w:colLast="0"/>
      <w:bookmarkEnd w:id="2"/>
    </w:p>
    <w:p w:rsidR="00DF56B6" w:rsidRDefault="00DF56B6" w:rsidP="004D0F89">
      <w:pPr>
        <w:widowControl w:val="0"/>
        <w:ind w:leftChars="0" w:left="0" w:firstLineChars="0" w:firstLine="0"/>
        <w:rPr>
          <w:sz w:val="20"/>
          <w:szCs w:val="20"/>
        </w:rPr>
      </w:pPr>
    </w:p>
    <w:sectPr w:rsidR="00DF56B6" w:rsidSect="00085837">
      <w:headerReference w:type="default" r:id="rId8"/>
      <w:pgSz w:w="11907" w:h="16840"/>
      <w:pgMar w:top="1134" w:right="1418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6CB" w:rsidRDefault="004C76CB">
      <w:pPr>
        <w:spacing w:line="240" w:lineRule="auto"/>
        <w:ind w:left="0" w:hanging="2"/>
      </w:pPr>
      <w:r>
        <w:separator/>
      </w:r>
    </w:p>
  </w:endnote>
  <w:endnote w:type="continuationSeparator" w:id="0">
    <w:p w:rsidR="004C76CB" w:rsidRDefault="004C76C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helleyAllegr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6CB" w:rsidRDefault="004C76CB">
      <w:pPr>
        <w:spacing w:line="240" w:lineRule="auto"/>
        <w:ind w:left="0" w:hanging="2"/>
      </w:pPr>
      <w:r>
        <w:separator/>
      </w:r>
    </w:p>
  </w:footnote>
  <w:footnote w:type="continuationSeparator" w:id="0">
    <w:p w:rsidR="004C76CB" w:rsidRDefault="004C76C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20A" w:rsidRDefault="006832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ShelleyAllegro BT" w:eastAsia="ShelleyAllegro BT" w:hAnsi="ShelleyAllegro BT" w:cs="ShelleyAllegro BT"/>
        <w:color w:val="000000"/>
        <w:sz w:val="44"/>
        <w:szCs w:val="44"/>
      </w:rPr>
    </w:pPr>
    <w:r>
      <w:rPr>
        <w:color w:val="000000"/>
      </w:rPr>
      <w:object w:dxaOrig="5055" w:dyaOrig="56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0" o:spid="_x0000_i1025" type="#_x0000_t75" style="width:54.95pt;height:58.7pt;visibility:visible" o:ole="">
          <v:imagedata r:id="rId1" o:title=""/>
          <v:path o:extrusionok="t"/>
        </v:shape>
        <o:OLEObject Type="Embed" ProgID="PBrush" ShapeID="_x0000_s0" DrawAspect="Content" ObjectID="_1690277553" r:id="rId2"/>
      </w:object>
    </w:r>
    <w:r>
      <w:rPr>
        <w:rFonts w:ascii="ShelleyAllegro BT" w:eastAsia="ShelleyAllegro BT" w:hAnsi="ShelleyAllegro BT" w:cs="ShelleyAllegro BT"/>
        <w:color w:val="000000"/>
        <w:sz w:val="44"/>
        <w:szCs w:val="44"/>
      </w:rPr>
      <w:t xml:space="preserve"> </w:t>
    </w:r>
  </w:p>
  <w:p w:rsidR="0068320A" w:rsidRDefault="006832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360" w:line="240" w:lineRule="auto"/>
      <w:ind w:left="1" w:hanging="3"/>
      <w:jc w:val="center"/>
      <w:rPr>
        <w:rFonts w:ascii="Verdana" w:eastAsia="Verdana" w:hAnsi="Verdana" w:cs="Verdana"/>
        <w:color w:val="000000"/>
        <w:sz w:val="32"/>
        <w:szCs w:val="32"/>
      </w:rPr>
    </w:pPr>
    <w:r>
      <w:rPr>
        <w:rFonts w:ascii="Verdana" w:eastAsia="Verdana" w:hAnsi="Verdana" w:cs="Verdana"/>
        <w:color w:val="000000"/>
        <w:sz w:val="32"/>
        <w:szCs w:val="32"/>
      </w:rPr>
      <w:t>Tribunal Regional Eleitoral de Santa Catarina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30C1"/>
    <w:multiLevelType w:val="multilevel"/>
    <w:tmpl w:val="19E0FF0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85D1B56"/>
    <w:multiLevelType w:val="multilevel"/>
    <w:tmpl w:val="B49680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C2D479C"/>
    <w:multiLevelType w:val="multilevel"/>
    <w:tmpl w:val="F0C8C19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137947E1"/>
    <w:multiLevelType w:val="multilevel"/>
    <w:tmpl w:val="88801E7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193F2AD7"/>
    <w:multiLevelType w:val="multilevel"/>
    <w:tmpl w:val="64769B4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235E13BC"/>
    <w:multiLevelType w:val="multilevel"/>
    <w:tmpl w:val="8116A81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A85C8F"/>
    <w:multiLevelType w:val="multilevel"/>
    <w:tmpl w:val="34DE6F66"/>
    <w:lvl w:ilvl="0">
      <w:start w:val="1"/>
      <w:numFmt w:val="decimal"/>
      <w:pStyle w:val="Ttulo1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pStyle w:val="Ttulo2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pStyle w:val="Ttulo3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Ttulo4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pStyle w:val="Ttulo5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pStyle w:val="Ttulo6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pStyle w:val="Ttulo7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pStyle w:val="Ttulo8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pStyle w:val="Ttulo9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1123B26"/>
    <w:multiLevelType w:val="multilevel"/>
    <w:tmpl w:val="AF8065D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32F51A07"/>
    <w:multiLevelType w:val="multilevel"/>
    <w:tmpl w:val="5AFAB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7E333BB"/>
    <w:multiLevelType w:val="multilevel"/>
    <w:tmpl w:val="B7D6FA9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CC9319D"/>
    <w:multiLevelType w:val="multilevel"/>
    <w:tmpl w:val="4856625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38C13AA"/>
    <w:multiLevelType w:val="multilevel"/>
    <w:tmpl w:val="352E959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2" w15:restartNumberingAfterBreak="0">
    <w:nsid w:val="52AB367D"/>
    <w:multiLevelType w:val="multilevel"/>
    <w:tmpl w:val="2D5A292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8A619EA"/>
    <w:multiLevelType w:val="multilevel"/>
    <w:tmpl w:val="A014BFE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5A2F1321"/>
    <w:multiLevelType w:val="multilevel"/>
    <w:tmpl w:val="04FCA1A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5" w15:restartNumberingAfterBreak="0">
    <w:nsid w:val="6F7C4642"/>
    <w:multiLevelType w:val="multilevel"/>
    <w:tmpl w:val="0FB2986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6" w15:restartNumberingAfterBreak="0">
    <w:nsid w:val="6FF97366"/>
    <w:multiLevelType w:val="multilevel"/>
    <w:tmpl w:val="D15A1B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17" w15:restartNumberingAfterBreak="0">
    <w:nsid w:val="777C1E38"/>
    <w:multiLevelType w:val="multilevel"/>
    <w:tmpl w:val="2378F3A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8" w15:restartNumberingAfterBreak="0">
    <w:nsid w:val="7D382AF8"/>
    <w:multiLevelType w:val="multilevel"/>
    <w:tmpl w:val="3F1092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7"/>
  </w:num>
  <w:num w:numId="3">
    <w:abstractNumId w:val="13"/>
  </w:num>
  <w:num w:numId="4">
    <w:abstractNumId w:val="7"/>
  </w:num>
  <w:num w:numId="5">
    <w:abstractNumId w:val="16"/>
  </w:num>
  <w:num w:numId="6">
    <w:abstractNumId w:val="15"/>
  </w:num>
  <w:num w:numId="7">
    <w:abstractNumId w:val="0"/>
  </w:num>
  <w:num w:numId="8">
    <w:abstractNumId w:val="9"/>
  </w:num>
  <w:num w:numId="9">
    <w:abstractNumId w:val="8"/>
  </w:num>
  <w:num w:numId="10">
    <w:abstractNumId w:val="2"/>
  </w:num>
  <w:num w:numId="11">
    <w:abstractNumId w:val="6"/>
  </w:num>
  <w:num w:numId="12">
    <w:abstractNumId w:val="18"/>
  </w:num>
  <w:num w:numId="13">
    <w:abstractNumId w:val="5"/>
  </w:num>
  <w:num w:numId="14">
    <w:abstractNumId w:val="10"/>
  </w:num>
  <w:num w:numId="15">
    <w:abstractNumId w:val="4"/>
  </w:num>
  <w:num w:numId="16">
    <w:abstractNumId w:val="14"/>
  </w:num>
  <w:num w:numId="17">
    <w:abstractNumId w:val="3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B6"/>
    <w:rsid w:val="00020526"/>
    <w:rsid w:val="00085837"/>
    <w:rsid w:val="001A1BE6"/>
    <w:rsid w:val="001C0D73"/>
    <w:rsid w:val="00305DF1"/>
    <w:rsid w:val="0042565F"/>
    <w:rsid w:val="004C76CB"/>
    <w:rsid w:val="004D0F89"/>
    <w:rsid w:val="0056733B"/>
    <w:rsid w:val="0068320A"/>
    <w:rsid w:val="00730C6E"/>
    <w:rsid w:val="007E6BF8"/>
    <w:rsid w:val="008C0307"/>
    <w:rsid w:val="00A16D55"/>
    <w:rsid w:val="00A25083"/>
    <w:rsid w:val="00A5480F"/>
    <w:rsid w:val="00A91DFC"/>
    <w:rsid w:val="00BB102F"/>
    <w:rsid w:val="00CD1D17"/>
    <w:rsid w:val="00DF56B6"/>
    <w:rsid w:val="00E47A5D"/>
    <w:rsid w:val="00F1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A33DDC4F-D411-4ECA-9041-4974D0D6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numPr>
        <w:numId w:val="11"/>
      </w:numPr>
      <w:spacing w:before="240" w:after="60"/>
      <w:ind w:left="-1" w:hanging="1"/>
    </w:pPr>
    <w:rPr>
      <w:b/>
      <w:bCs/>
      <w:kern w:val="32"/>
      <w:sz w:val="28"/>
      <w:szCs w:val="32"/>
    </w:rPr>
  </w:style>
  <w:style w:type="paragraph" w:styleId="Ttulo2">
    <w:name w:val="heading 2"/>
    <w:basedOn w:val="Normal"/>
    <w:pPr>
      <w:numPr>
        <w:ilvl w:val="1"/>
        <w:numId w:val="11"/>
      </w:numPr>
      <w:spacing w:before="100" w:beforeAutospacing="1" w:after="100" w:afterAutospacing="1"/>
      <w:ind w:left="-1" w:hanging="1"/>
      <w:outlineLvl w:val="1"/>
    </w:pPr>
    <w:rPr>
      <w:b/>
      <w:bCs/>
      <w:sz w:val="26"/>
      <w:szCs w:val="36"/>
    </w:rPr>
  </w:style>
  <w:style w:type="paragraph" w:styleId="Ttulo3">
    <w:name w:val="heading 3"/>
    <w:basedOn w:val="Normal"/>
    <w:next w:val="Normal"/>
    <w:pPr>
      <w:keepNext/>
      <w:numPr>
        <w:ilvl w:val="2"/>
        <w:numId w:val="11"/>
      </w:numPr>
      <w:spacing w:before="100" w:beforeAutospacing="1" w:after="100" w:afterAutospacing="1"/>
      <w:ind w:left="-1" w:hanging="1"/>
      <w:outlineLvl w:val="2"/>
    </w:pPr>
    <w:rPr>
      <w:b/>
      <w:bCs/>
      <w:szCs w:val="26"/>
    </w:rPr>
  </w:style>
  <w:style w:type="paragraph" w:styleId="Ttulo4">
    <w:name w:val="heading 4"/>
    <w:basedOn w:val="Normal"/>
    <w:next w:val="Normal"/>
    <w:pPr>
      <w:keepNext/>
      <w:numPr>
        <w:ilvl w:val="3"/>
        <w:numId w:val="11"/>
      </w:numPr>
      <w:spacing w:before="240" w:after="60"/>
      <w:ind w:left="-1" w:hanging="1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pPr>
      <w:numPr>
        <w:ilvl w:val="4"/>
        <w:numId w:val="11"/>
      </w:numPr>
      <w:spacing w:before="240" w:after="60"/>
      <w:ind w:left="-1" w:hanging="1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pPr>
      <w:numPr>
        <w:ilvl w:val="5"/>
        <w:numId w:val="11"/>
      </w:numPr>
      <w:spacing w:before="240" w:after="60"/>
      <w:ind w:left="-1" w:hanging="1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pPr>
      <w:numPr>
        <w:ilvl w:val="6"/>
        <w:numId w:val="11"/>
      </w:numPr>
      <w:spacing w:before="240" w:after="60"/>
      <w:ind w:left="-1" w:hanging="1"/>
      <w:outlineLvl w:val="6"/>
    </w:pPr>
  </w:style>
  <w:style w:type="paragraph" w:styleId="Ttulo8">
    <w:name w:val="heading 8"/>
    <w:basedOn w:val="Normal"/>
    <w:next w:val="Normal"/>
    <w:pPr>
      <w:numPr>
        <w:ilvl w:val="7"/>
        <w:numId w:val="11"/>
      </w:numPr>
      <w:spacing w:before="240" w:after="60"/>
      <w:ind w:left="-1" w:hanging="1"/>
      <w:outlineLvl w:val="7"/>
    </w:pPr>
    <w:rPr>
      <w:i/>
      <w:iCs/>
    </w:rPr>
  </w:style>
  <w:style w:type="paragraph" w:styleId="Ttulo9">
    <w:name w:val="heading 9"/>
    <w:basedOn w:val="Normal"/>
    <w:next w:val="Normal"/>
    <w:pPr>
      <w:numPr>
        <w:ilvl w:val="8"/>
        <w:numId w:val="11"/>
      </w:numPr>
      <w:spacing w:before="240" w:after="60"/>
      <w:ind w:left="-1" w:hanging="1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customStyle="1" w:styleId="mw-headline">
    <w:name w:val="mw-headline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hAnsi="Cambria" w:cs="Cambria"/>
      <w:color w:val="000000"/>
      <w:position w:val="-1"/>
    </w:rPr>
  </w:style>
  <w:style w:type="paragraph" w:customStyle="1" w:styleId="western">
    <w:name w:val="western"/>
    <w:basedOn w:val="Normal"/>
    <w:pPr>
      <w:spacing w:before="100" w:beforeAutospacing="1" w:after="119"/>
    </w:pPr>
    <w:rPr>
      <w:color w:val="00000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texto">
    <w:name w:val="Body Text"/>
    <w:basedOn w:val="Normal"/>
    <w:pPr>
      <w:spacing w:after="120" w:line="240" w:lineRule="atLeast"/>
      <w:ind w:left="720"/>
    </w:pPr>
    <w:rPr>
      <w:rFonts w:ascii="Times New Roman" w:hAnsi="Times New Roman"/>
      <w:sz w:val="20"/>
    </w:rPr>
  </w:style>
  <w:style w:type="paragraph" w:styleId="Sumrio1">
    <w:name w:val="toc 1"/>
    <w:basedOn w:val="Normal"/>
    <w:next w:val="Normal"/>
    <w:pPr>
      <w:tabs>
        <w:tab w:val="left" w:pos="480"/>
        <w:tab w:val="right" w:leader="dot" w:pos="9111"/>
      </w:tabs>
      <w:jc w:val="both"/>
    </w:pPr>
    <w:rPr>
      <w:noProof/>
      <w:sz w:val="20"/>
    </w:rPr>
  </w:style>
  <w:style w:type="paragraph" w:styleId="Sumrio2">
    <w:name w:val="toc 2"/>
    <w:basedOn w:val="Normal"/>
    <w:next w:val="Normal"/>
    <w:pPr>
      <w:tabs>
        <w:tab w:val="left" w:pos="880"/>
        <w:tab w:val="right" w:leader="dot" w:pos="9111"/>
      </w:tabs>
      <w:ind w:left="200"/>
      <w:jc w:val="both"/>
    </w:pPr>
    <w:rPr>
      <w:noProof/>
      <w:sz w:val="20"/>
    </w:rPr>
  </w:style>
  <w:style w:type="paragraph" w:styleId="Sumrio3">
    <w:name w:val="toc 3"/>
    <w:basedOn w:val="Normal"/>
    <w:next w:val="Normal"/>
    <w:pPr>
      <w:ind w:left="480"/>
    </w:pPr>
    <w:rPr>
      <w:sz w:val="20"/>
    </w:rPr>
  </w:style>
  <w:style w:type="paragraph" w:styleId="CabealhodoSumrio">
    <w:name w:val="TOC Heading"/>
    <w:basedOn w:val="Ttulo1"/>
    <w:next w:val="Normal"/>
    <w:qFormat/>
    <w:pPr>
      <w:keepLines/>
      <w:numPr>
        <w:numId w:val="0"/>
      </w:numPr>
      <w:spacing w:after="0" w:line="259" w:lineRule="auto"/>
      <w:ind w:leftChars="-1" w:left="-1" w:hangingChars="1" w:hanging="1"/>
      <w:outlineLvl w:val="9"/>
    </w:pPr>
    <w:rPr>
      <w:rFonts w:ascii="Calibri Light" w:eastAsia="Times New Roman" w:hAnsi="Calibri Light" w:cs="Times New Roman"/>
      <w:b w:val="0"/>
      <w:bCs w:val="0"/>
      <w:color w:val="2E74B5"/>
      <w:kern w:val="0"/>
      <w:sz w:val="32"/>
    </w:rPr>
  </w:style>
  <w:style w:type="character" w:customStyle="1" w:styleId="RodapChar">
    <w:name w:val="Rodapé Char"/>
    <w:rPr>
      <w:rFonts w:ascii="Arial" w:hAnsi="Arial"/>
      <w:w w:val="100"/>
      <w:position w:val="-1"/>
      <w:sz w:val="24"/>
      <w:effect w:val="none"/>
      <w:vertAlign w:val="baseline"/>
      <w:cs w:val="0"/>
      <w:em w:val="none"/>
    </w:rPr>
  </w:style>
  <w:style w:type="character" w:styleId="nfase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paragraph" w:customStyle="1" w:styleId="Estilo1">
    <w:name w:val="Estilo1"/>
    <w:basedOn w:val="Normal"/>
    <w:pPr>
      <w:suppressAutoHyphens w:val="0"/>
      <w:spacing w:after="120" w:line="360" w:lineRule="auto"/>
      <w:ind w:left="567"/>
      <w:jc w:val="both"/>
    </w:pPr>
    <w:rPr>
      <w:rFonts w:ascii="Times New Roman" w:hAnsi="Times New Roman"/>
      <w:sz w:val="20"/>
      <w:lang w:eastAsia="zh-C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go7OYdaY7r5+KhnBMOHMdG7p6Q==">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246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luciah</dc:creator>
  <cp:lastModifiedBy>João Batista Sarilho da Silva</cp:lastModifiedBy>
  <cp:revision>15</cp:revision>
  <dcterms:created xsi:type="dcterms:W3CDTF">2021-08-10T19:49:00Z</dcterms:created>
  <dcterms:modified xsi:type="dcterms:W3CDTF">2021-08-12T15:46:00Z</dcterms:modified>
</cp:coreProperties>
</file>